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03.10.2017, оставленным без изменения постановлением Девятого арбитражного апелляционного суда от 19.12.2017, в удовлетворении заявления отказано. Общество 21.04.2021 обратилось в суд первой инстанции с заявлением о пересмотре вступившего в законную силу судебного акта по новым обстоятельствам. Определением Арбитражного суда города Москвы от 04.06.2021, оставленным без изменения постановлением Девятого арбитражного 2 апелляционного суда от 17.08.2021 и постановлением Арбитражного суда Московского округа от 25.10.2021,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Прекращая производство по заявлению общества о пересмотре вступившего в законную силу судебного акта по новым обстоятельствам, суд первой инстанции, руководствуясь статьями 309, 311, 312, 315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исходил из пропуска обществом срока для обращения с соответствующим заявлением. Судом установлено, что общество обратилось в арбитражный суд 21.04.2021, в тоже время последний судебный акт по делу вступил в законную силу 19.12.2017. Суды апелляционной инстанции и округа поддержали выводы суда первой инстанции. Нарушений судом первой инстанции процессуальных норм судами апелляционной инстанции и округа не установлено. 3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«Тюменские аэрозоли»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