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30.04.2021, оставленным без изменения постановлением Девятого арбитражного апелляционного суда от 20.07.2021 и постановлением Арбитражного суда Московского округа от 21.10.2021, в удовлетворении заявления отказано. В кассационной жалобе Соколов В.Б. просит об отмене судебных актов, ссылаясь на игнорирование мнения специалиста о нуждаемости должника и членов его семьи в автомобиле по состоянию здоровья.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установили, что спорный автомобиль не обладает исполнительским иммунитетом и его исключение из конкурсной массы при наличии у должника неисполненных обязательств противоречит целям процедур банкротства, поэтому в силу пунктов 2 и 3 статьи 213.25 Федерального закона «О несостоятельности (банкротстве)» и части 1 статьи 446 Гражданского процессуального кодекса Российской Федерации не признали оснований для исключения его из конкурсной массы.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В.Б.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