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19.03.2021, оставленным без изменения постановлением Девятого арбитражного апелляционного суда от 18.06.2021 и постановлением Арбитражного суда Московского округа от 20.10.2021, исковые требования удовлетворены. В кассационной жалобе компания просит об отмене судебных актов, ссылаясь на игнорирование довода о моратории на применение процентов и нарушение процессуальных норм.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отклонили довод о наличии моратория на взыскание процентов, предусмотренных статьей 395 Гражданского кодекса Российской Федерации, ссылкой на абзац 2 пункта 7 постановления Пленума Верховного Суда Российской Федерации от 24.12.2020 № 44 «О некоторых вопросах применения положений статьи 9.1 Федерального закона от 26 октября 2002 года № 127-ФЗ «О несостоятельности (банкротстве)». Ссылка в обоснование отказа в применении моратория на общедоступные сведения и неприменение моратория в отсутствие возражения истца не являются процессуальными нарушениями и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«Специализированная строительная компания «Газрегион» в передаче кассационной жалобы для рассмотрения в судебном заседании Судебной коллегии по экономическим спорам Верховного Суда Российской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