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первый заместитель прокурора Ямало-Ненецкого автономного округа (далее – Прокурор) в порядке статьи 52 Арбитражного процессуального кодекса Российской Федерации (далее – АПК РФ) обратился в Арбитражный суд Ямало- Ненецкого автономного округа с иском к администрации муниципального образования поселок Тазовский (далее – Администрация), акционерному обществу «Ямалкоммунэнерго» (далее – Общество) о признании недействительным договора аренды муниципального имущества от 26.10.2018 № 17, применении последствий недействительности ничтожной сделки путем возложения на Общество обязанности вернуть Администрации указанное в приложении № 2 к указанному договору имущество: пионерный водозабор п. Тазовский; линейное сооружение: внутриплощадочные сети водопровода ПАЭС-2500, сооружение: внутриплощадочные инженерные сети водоснабжения В1 (наземная прокладка по эстакаде) резервуаров 400 куб. м ПАЭС-2500; линейное сооружение: сети водопровода ПАЭС-ВЖК. ВЖК-400; линейное сооружение: сети водопровода ПАЭС-ВРМ. 2 Решением Арбитражного суда Ямало-Ненецкого автономного округа от 19.04.2021, оставленным без изменения постановлением Восьмого арбитражного апелляционного суда 14.07.2021 и постановлением Арбитражного суда Западно-Сибирского округа от 19.11.2021,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судебными инстанциями не учтено, муниципальное имущество принято в пользование вынужденно в целях предупреждения чрезвычайной ситуации, а ответчиком предпринимались меры для заключения концессионного соглашения в установленном порядке.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Администрацией (арендодатель) и Обществом (арендатор) без проведения торгов заключен договор аренды муниципального имущества от 26.10.2018 № 17 (далее – договор), согласно пункту 1.1 которого арендодатель предоставляет, а арендатор принимает за плату во временное пользование муниципальное имущество, указанное в Приложении № 2 (акт приема-передачи) к договору для использования по назначению в целях оказания услуг в сфере жилищно-коммунального хозяйства на территории поселка Тазовский. Договор аренды заключен на срок с 30.05.2018 до момента заключения концессионного соглашения (пункт 1.5 договора). Согласно приложению № 2 к договору объектом аренды являются объекты жилищно-коммунального комплекса: пионерный водозабор п. Тазовский, линейное сооружение: внутриплощадочные сети водопровода ПАЭС-2500, сооружение: внутриплощадочные инженерные сети водоснабжения В1 (наземная прокладка по эстакаде) резервуаров 400 куб. м ПАЭС-2500, линейное сооружение: сети водопровода ПАЭС-ВЖК. ВЖК-400, линейное сооружение: сети водопровода ПАЭС-ВРМ. Имущество передано арендатору по акту приема-передачи от 26.10.2018. Ссылаясь на то, что договор заключен в отношении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 без 3 проведения конкурса или аукциона, Прокурор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166, 168 Гражданского кодекса Российской Федерации, статьей 17.1 Федерального закона от 06.10.2003 № 131-ФЗ «Об общих принципах организации местного самоуправления в Российской Федерации», статьями 1,3,4 Федерального закона от 21.07.2005 № 115-ФЗ «О концессионных соглашениях», статьей 17.1 Федерального закона от 26.07.2006 № 135-ФЗ «О защите конкуренции», статьей 41.1 Федерального закона от 07.12.2011 № 416-ФЗ «О водоснабжении и водоотведении», суды удовлетворили заявленные требования, правомерно исходя из того, что передача в аренду объектов горячего, холодного водоснабжения, водоотведения без заключения концессионного соглашения по результатам проведения конкурсных процедур нарушает императивный законодательный запрет и посягает на публичные интересы. Непринятие заблаговременно необходимых действий, зависящих ,как от органа местного самоуправления, так и от ресурсоснабжающей организации, по приведению правоотношений сторон в соответствие с действующим законодательством по организации конкурса для заключения концессионных соглашений на право пользования объектами тепло-, водоснабжения, не может служить основанием для обхода требований федеральных законов и легализации оспариваемой сделки. Учитывая, что объекты, предусмотренные приложением № 2 к договору аренды, фактически находились, как указывает сам ответчик, в его владении и пользовании с 30.05.2013, у Общества, как обоснованно отмечено судами, имелось достаточно времени для проведения всех необходимых мероприятий и приведения в соответствие необходимой документации для заключения соответствующего концессионного соглашения.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«Ямалкоммунэнерго»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