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22 февраля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суда первой инстанции от 30.04.2021, оставленным без изменения постановлениями Первого арбитражного апелляционного суда от 30.07.2021 и Арбитражного суда Волго-Вятского округа от 18.11.2021, в удовлетворении заявленного требования отказано. В кассационной жалобе общество просит отменить принятые по делу судебные акты, ссылаясь на существенное нарушение судами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2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по результатам внеплановой документарной проверки общества в рамках лицензионного контроля по факту обращения потребителя о необоснованном начислении платы за коммунальные ресурсы (электроснабжение), потребляемые при использовании и содержании общего имущества в многоквартирном доме, инспекция пришла к выводу о неправомерном начислении собственникам дома платы за электроснабжение, потребляемое при использовании и содержании общего имущества в доме, исходя из показаний общедомового прибора учета без учета утвержденного норматива потребления. Предписанием инспекции на общество возложена обязанность устранить выявленное нарушение. Не согласившись с ненормативным правовым актом жилищной инспекции, общество обратилось в арбитражный суд. Отказывая в удовлетворении заявления, суды первой и апелляционной инстанций, исследовав и оценив представленные в материалы дела доказательства, руководствуясь положениями статей 153, 156, 157, 161, 162, 196 Жилищного кодекса Российской Федерации, Федерального закона от 26.12.2008 № 294-ФЗ «О защите прав юридических лиц и индивидуальных предпринимателей при осуществлении государственного контроля (надзора) и муниципального контроля», Правилами предоставления коммунальных услуг собственникам и пользователям помещений в многоквартирных домах и жилых домов, утвержденными постановлением Правительства Российской Федерации от 06.05.2011 № 354, Правилами содержания общего имущества в многоквартирном доме и правилами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 утвержденными постановлением Правительства Российской Федерации от 13.08.2006 № 491, Минимальным перечнем услуг и работ, необходимых для обеспечения надлежащего содержания общего имущества в многоквартирном доме, утвержденным постановлением Правительства Российской Федерации от 03.04.2013 № 290, пришли к выводу о том, что предписание инспекции соответствует нормам жилищного законодательства и не нарушает права и законные интересы общества, с чем согласился суд округа. Судебные инстанции исходили из того, что размер расходов на оплату энергоснабжения, потребляемого при содержании общего имущества в многоквартирном доме, определяется исходя из нормативов потребления и тарифов, утверждаемых органами государственной власти субъектов 3 Российской Федерации, при этом общее собрание собственников помещений в многоквартирном доме вправе принять решение о включении в плату за содержание жилого помещения расходы на приобретение объема коммунальных ресурсов, потребляемых при содержании общего имущества в многоквартирном доме, с учетом превышения нормативов потребления соответствующих видов коммунальных ресурсов в целях содержания общего имущества в многоквартирном доме в случае, если перечень работ по содержанию общего имущества превышает минимальный перечень. При исследовании обстоятельств дела установлено, что представленным в материалы дела протоколом общего собрания не подтверждается принятие собственниками помещений в указанном многоквартирном доме решения по сверхнормативному распределению коммунальных ресурсов на содержание общего имущества. Принимая во внимание изложенное, суды пришли к выводу о том, что начисление платы за электроэнергию, потребляемую при использовании и содержании общего имущества в многоквартирном доме, исходя из фактического объема потребления коммунального ресурса по показаниям общедомовых приборов учета электроснабжения без учета утвержденного норматива потребления коммунального ресурса, противоречит законодательству. Доводы кассационной жалобы являлись предметом рассмотрения судов, получили надлежащую правовую оценку с учетом установленных обстоятельств дела и мотивированно отклонены, основаны на неверном толковании норм материального права, не опровергают выводы судов, не подтверждают существенных нарушений норм материального права и норм процессуального права, повлиявших на исход дела.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При таких обстоятельствах,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акционерному обществу «Домоуправляющая компания Канавинского района»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