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22.03.2021, оставленным без изменения постановлением Первого арбитражного апелляционного суда от 09.06.2021, заявление частично удовлетворено. Арбитражный суд Волго-Вятского округа постановлением от 12.10.2021 отменил определение от 22.03.2021 и постановление апелляционного суда от 09.06.2021 в удовлетворенной части заявления и в удовлетворении заявления отказал в полном объеме. В кассационной жалобе Поляков В.С. просит об отмене постановления окружного суда, ссылаясь на отсутствие законных полномочий у Мелеховой И.А. для осуществления распорядительных действий в отношении имущества должника, продажу имущества по заниженной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Цена реализации имущества должника, установленная залоговым кредитором и окончательно определенная покупательским спросом, и действия арбитражного управляющего по размещению информации о торгах признаны не противоречащими утвержденному Положению об условиях реализации имущества должника, статьям 138, 213.26 Федерального закона от 26.10.2002 № 127-ФЗ «О несостоятельности (банкротстве)», статье 449 Гражданского кодекса Российской Федерации и не влекущими признания торгов и заключенного по их итогам договора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Полякову В.С.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