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Удмуртской Республики от 12.04.2021, оставленным без изменения постановлением Семнадцатого арбитражного апелляционного суда от 07.07.2021 и постановлением Арбитражного суда Уральского округа от 19.10.2021, заявления удовлетворены. В кассационной жалобе Бушуев Н.В. просит об отмене судебных актов, ссылаясь на ненадлежащую оценку обстоятельств совершения сделок и неподведомственность спора арбитражному суду.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Совершение оспариваемых сделок после возбуждения в отношении должника дела о банкротстве в отсутствие у Бушуева Н.В. финансовой возможности предоставления денежных средств в заем признаны составляющими условия недействительности сделок в силу пункта 2 статьи 61.2 Федерального закона от 26.10.2002 № 127-ФЗ «О несостоятельности (банкротстве)». Взаимосвязанность сделок и подсудность арбитражному суду дел о банкротстве граждан указывают на компетентное рассмотрение заявлений в рамках дела о банкротстве должника. Учитывая наличие у Жебровской Т.А. обязанности по возврату должнику имущества и денежных средств в качестве последствий недействительности сделок, довод о незатрагивании оспариваемыми сделками прав кредиторов неоснователен.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Бушуеву Н.В.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