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07.06.2021, оставленным без изменения постановлениями Четвертого арбитражного апелляционного суда от 02.09.2021 и Арбитражного суда Восточно-Сибирского округа от 11.11.2021,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налогу на добавленную стоимость (далее - НДС) за 2 квартал 2018 года инспекцией составлен акт от 04.02.2019 и вынесено решение, которым доначислено 14 497 765 рублей налога, 1 932 196 рублей 47 копеек пени и 5 799 106 рублей штрафа. Основанием для доначисления налога послужил вывод налогового органа о получении обществом необоснованной налоговой выгоды при осуществлении хозяйственных операций с контрагентом ООО «Строй-Лидер» в рамках договора на выполнение подрядных работ. Не согласившись с решением инспекции, общество обратилось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том, что решение налогового органа соответствует действующему законодательству и не нарушает права и законные интересы заявителя, с чем согласились суды апелляционной инстанции и округа. Судебные инстанции исходили из того, что представленные обществом первичные учетные документы не подтверждают реальности спорных хозяйственных операций заявителя с указанным контрагентом, у которого отсутствуют трудовые и производственные ресурсы, направлены на создание фиктивного документооборота в целях получения необоснованной налоговой выгоды в виде применения налоговых вычетов по НДС. Суды указали, что у заявителя в проверяемом периоде в собственности имелись транспортные средства, которые могли быть задействованы в процессе выполнения спорных работ; общество самостоятельно закупало необходимые для проведения работ материалы, а также являлось их изготовителем; на 3 объектах находились транспортные средства общества, которые заправлялись непосредственно в месте проведения работ; акты скрытых и выполненных работ подписаны исключительно должностными лицами общества, что может свидетельствовать о выполнении заявителем работ своими силами.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«СтройДорХолдинг»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