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07.08.2020 Хромов Алексей Владимирович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Нестеров Александр Вячеславович. Финансовый управляющий обратился в Арбитражный суд города Москвы с заявлением о признании недействительным соглашения об уплате алиментов на содержание ребенка, заключенного между Хромовым А.В. и Хромовой Екатериной Вячеславовной в интересах их общих детей Хромова Егора Алексеевича и Хромовой Анны Алексеевны, в части отчуждения в счет оплаты алиментных обязательств 1/3 доли в праве общей долевой собственности на квартиру площадью 51,1 кв.м, жилого дома площадью 266,5 кв.м, земельного участка площадью 1500 +/- 14 кв.м и применении последствий его недействительности. Определением Арбитражного суда города Москвы от 03.06.2021 заявление финансового управляющего удовлетворено, признано 2 недействительным соглашение об уплате алиментов на содержание ребенка от 10.06.2019, применены последствия его недействительности в виде возврата имущества в конкурсную массу должника. Постановлением Девятого арбитражного апелляционного суда от 04.08.2021 определение суда первой инстанции оставлено без изменения. Арбитражный суд Московского округа постановлением от 26.10.2021 указанные судебные акты оставил без изменения. Хромов Алексей Владимирович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Гражданского кодекса Российской Федерации, статьями 19, 61.1, пунктом 2 статьи 61.2 Федерального закона от 26.10.2002 № 127-ФЗ «О несостоятельности (банкротстве)», разъяснениями, изложенными в пункте 12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доказанности совершения оспариваемой сделки при злоупотреблении правом. В частности, суды установили, что на момент совершения сделки между заинтересованными лицами должник отвечал признакам неплатежеспособности, в рамках спорного соглашения должником отчуждено имущество, сумма которого превышает разумно достаточные потребности ребенка в материальном содержании, доказательств наличия задолженности по уплате алиментов не представлено, стороны соглашения на момент его заключения находились в зарегистрированном браке, целесообразность заключения соглашения в отсутствие существенной задолженности не подтверждена. 3 Доводы, изложенные в кассационной жалобе,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Хромову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