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31.05.2021, оставленным без изменения постановлением Девятого арбитражного апелляционного суда от 26.08.2021 и постановлением Арбитражного суда Московского округа от 23.11.2021, в удовлетворении исковых требований отказано. В кассационной жалобе, поданной в Верховный Суд Российской Федерации, общество, ссылаясь на незаконность указанных судебных актов, просит их отменить и направить дело на новое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2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главы 7 Арбитражного процессуального кодекса Российской Федерации представленные в материалы дела доказательства, проанализировав условия спорного договора, предусматривающего право компании (организатор) в определенных случаях изменить месторасположение стенда общества (участник) в одностороннем порядке, признав предложенное компанией исполнение не выходящим за пределы согласованных сторонами условий договора, отметив, что факт существенного нарушения компанией условий договора обществом не подтвержден, руководствуясь статьями 308.2, 450, 779, 781 Гражданского кодекса Российской Федерации, разъяснениями, приведенными в постановлении Пленума Высшего Арбитражного Суда Российской Федерации от 14.03.2014 № 16 «О свободе договора и ее пределах», постановлении Пленума Верховного Суда Российской Федерации от 22.11.2016 № 54 «О некоторых вопросах применения общих положений Гражданского кодекса Российской Федерации об обязательствах и их исполнении», суды первой и апелляционной инстанций пришли к выводу об отсутствии оснований для удовлетворения исковых требований, с чем впоследствии согласился суд округа. Доводы кассационной жалобы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Принимая во внимание изложенное и руководствуясь статьей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закрытого акционерного общества «Контакт Плюс»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