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01.02.2021, оставленным без изменения постановлением Девятого арбитражного апелляционного суда 2 от 24.05.2021, казенное учреждение привлечено к административной ответственности, предусмотренной частью 15 статьи 19.5 Кодекса Российской Федерации об административных правонарушениях, и ему назначено наказание в виде штрафа в размере 300 000 рублей. Постановлением Арбитражного суда Московского округа от 27.10.2021 указанные судебные акты оставлены без изменения. Казенное учреждение обратилось в Верховный Суд Российской Федерации с кассационной жалобой, в которой просит состоявшиеся по делу судебные акты отменить, производство по делу об административном правонарушении прекратить.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неисполнения казенным учреждением в установленный срок предписания надзорного органа об организации работ по обустройству или ликвидации примыкания (въезда-выезда) в соответствие с техническим регламентам. Оценив представленные доказательства, руководствуясь положениями Технического регламента Таможенного союза ТР ТС 014/2014 «Безопасность автомобильных дорог»,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суды пришли к выводу о наличии в действиях казенного учреждения состава вмененного правонарушения в связи с неисполнением законного предписания надзорного органа. Доводы заявителя о нарушении судом правил подсудности подлежат отклонению применительно к разъяснениям, содержащимся в пункте 28 постановления Пленума Верховного Суда Российской Федерации от 30.06.2020 № 12 «О применении Арбитражного процессуального кодекса Российской 3 Федерации при рассмотрении дел в арбитражном суде апелляционной инстанции» в отсутствие ссылок на то, что указанные доводы заявлялись в суде первой инстанции или не могли быть заявлены в связи с ненадлежащим извещением учреждения о времени и месте судебного заседания. Процедура и срок давности привлечения к ответственности соблюдены. Оснований для применения положений статьи 2.9 Кодекса Российской Федерации об административных правонарушениях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