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10.08.2021, оставленным без изменения постановлением Девятого арбитражного апелляционного суда от 08.10.2021, производство по делу прекращено. Постановлением Арбитражного суда Московского округа от 25.11.2021 определение суда первой инстанции и постановление суда апелляционной инстанции отменены, дело направлено на новое рассмотрение в Арбитражный суд города Москвы.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2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кассационных жалоб не установлено. Отменяя судебные акты судов первой и апелляционной инстанций и направляя дело на новое рассмотрение, суд округа исходил из ошибочности выводов судов о тождественности иска по настоящему делу требованиям, рассмотренным в рамках дела № А40-133144/2019.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«ЭвриТег»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