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14.02.2022 направил в Верховный Суд Российской Федерации кассационную жалобу на указанные судебные акты и одновременно заявил ходатайство о восстановлении пропущенного срока. Согласно части 2 статьи 2912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направление первоначальной жалобы 04.02.2022 с пределах установленного срока, а также оперативное устранение заявителем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акционерного общества «РТКомм.РУ»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