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унитарное предприятие пассажирского автомобильного транспорта Московской области «Мострансавто» (заказчик) обратилось в Арбитражный суд Рязанской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«ПассажирСервис» (исполнителя) 5 715 196 рублей 40 копеек задолженности по контракту от 21.02.2018 № 02/18-75-К на оказание услуг по оформлению и реализации перевозочных документов и 260 877 рублей 12 копеек неустойки, с последующим ее начислением по день фактического исполнения обязательств. Определением Арбитражного суда Рязанской области от 10.07.2019 произведена замена истца на его процессуального правопреемника - акционерное общество «Мострансавто». Арбитражным судом Рязанской области принят встречный иск ООО «ПассажирСервис» к АО «Мострансавто» о взыскании 5 715 196 рублей 40 копеек неустойки. 2 Решением Арбитражного суда Рязанской области от 24.02.2021 первоначальный иск удовлетворен; встречный иск удовлетворен в части взыскания 500 000 рублей неустойки; принят отказ от встречного иска в части взыскания 195 196 рублей 40 копеек и производство по делу в указанной части прекращено; в удовлетворении встречного иска в остальной части отказано. В результате зачета с ООО «ПассажирСервис» в пользу АО «Мострансавто» взыскано 5 476 073 рубля 52 копейки. Постановлением Двадцатого арбитражного апелляционного суда от 09.08.2021 решение суда первой инстанции оставлено без изменения. Арбитражный суд Центрального округа постановлением от 24.11.2021 указанные судебные акты оставил без изменения. Общество с ограниченной ответственностью «ПассажирСервис»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удержания исполнителем денежных средств, полученных от реализации проездных билетов, а также нарушение сроков их перечисления заказчику, руководствуясь положениями статей 309, 310, 329, 330, 779, 781 Гражданского кодекса Российской Федерации, суды пришли к выводу о наличии оснований для удовлетворения первоначального иска. Удовлетворяя встречный иск в части, суды установили ненадлежащее исполнение заказчиком предусмотренных контрактом обязательств в части осуществления перевозок пассажиров и багажа и пришли к выводу о правомерности начисления штрафа, уменьшив его размер на основании 3 статьи 333 Гражданского кодекса Российской Федерации ввиду явной несоразмерности последствиям нарушения обязательства. Доводы, изложенные в кассационной жалобе, приводились при рассмотрении дела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«ПассажирСервис»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