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Коми от 07.06.2021, оставленным без изменения постановлением Второго арбитражного апелляционного суда от 30.07.2021 и постановлением Арбитражного суда Волго-Вятского округа от 24.11.2021, в удовлетворении заявления отказано. В кассационной жалобе Юсифов К.Г.-о. просит об отмене судебных актов, ссылаясь на неисследование реальности передачи денежных средств супруге в дар.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установили, что квартира приобретена в период брака, поэтому в силу статьи 34 Семейного кодекса Российской Федерации и недоказанности обратного является общим имуществом должника и его супруги и составляет согласно статье 213.25 Федерального закона от 26.10.2002 № 127-ФЗ «О несостоятельности (банкротстве)» конкурсную массу должника. Вопросы доказывания и оценки доказательств, на которых основаны доводы жалобы, не составляют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Юсифову Кямрану Габилгасану-оглы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