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«Клинмарк Сервис» обратилось в Арбитражный суд города Москвы с иском о взыскании с общества с ограниченной ответственностью Лизинговая компания «Сименс Финанс» 1 028 400 рублей 28 копеек неосновательного обогащения и 12 651 рубля 28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Группа компаний «РусТехника». Решением Арбитражного суда города Москвы от 01.04.2021 иск удовлетворен. Постановлением Девятого арбитражного апелляционного суда от 30.06.2021 решение суда первой инстанции оставлено без изменения. Арбитражный суд Московского округа постановлением от 30.11.2021 указанные судебные акты отменил и направил дело на новое рассмотрение в Арбитражный суд города Москвы. 2 Общество с ограниченной ответственностью «Клинмарк Сервис»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«Клинмарк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