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«СевЗапБуксир» (далее – Общество) обратилось в Арбитражный суд города Москвы с иском к акционерному обществу «Белуга Проджектс Лоджистик» (далее – Компания) о взыскании 531 089 274 рублей 68 копеек штрафа. Решением Арбитражного суда города Москвы от 17.05.2021, оставленным без изменения постановлением Девятого арбитражного апелляционного суда от 21.07.2021 и постановлением Арбитражного суда Московского округа от 27.10.2021,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 , а также существенное нарушение норм материального и процессуального права. В обоснование доводов жалобы заявитель указывает, что действия Компании свидетельствуют о фактическом расторжении договора, что позволяет применить к нему меру ответственности в виде взыскания штрафа. 2 Общество также отмечает, что из-за действий Компании, истец фактически утратил возможность приобретения судна.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(продавец) и Компания (покупатель) заключили договор уступки права на долю имущества от 01.06.2020 N№БП/02/20, в соответствии с которым продавец обязуется уступить покупателю право на 1/2 долю буксира «АРГО» ИМО 9724269, а покупатель оплатить указанную долю и принять имущество в соответствии с условиями договора. В соответствии с пунктом 2.1 договора цена уступаемой доли судна определена в размере 5 970 126 евро, включая НДС 20%. В пункте 2.3 договора установлено, что покупатель перечисляет платежи, указанные в приложении № 1 к договору, не позднее 15 числа каждого месяца на расчетный счет продавца, в рублях в соответствии с курсом ЦБ РФ на день совершения платежа. В связи с неисполнением Компанией обязательств по внесению платежей, предусмотренных договором, истцом в адрес ответчика направлена досудебная претензия с требованием оплатить штраф, предусмотренный пунктом 5.3 договора, так как нарушение сроков оплаты расценено Обществом как отказ от исполнения договора. Ссылаясь на указанные обстоятельства,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309, 450, 450.1 Гражданского кодекса Российской Федерации, суды отказали в удовлетворении требований, придя к выводу, что Компанией каких-либо юридически значимых действий, предусмотренных законодательством, свидетельствующих о намерении прекратить отношения (расторгнуть соглашение), совершено не было, в связи с чем оснований для привлечения к ответственности по пункту 5.3 договора в виде уплаты штрафа за его расторжение не имеется. Судебными инстанциями учтено, что уведомление об одностороннем отказе от исполнения договора от 01.06.2020 № БП/02/20 Обществу не направлялось; Компания в письме от 26.10.2020 № 580 просит пересмотреть позицию истца по настоящему спору. 3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«СевЗапБуксир»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