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«Газпром нефть» обратилось в Арбитражный суд Республики Башкортостан с иском о взыскании с общества с ограниченной ответственностью «ОПТАН-Уфа» 1 947 000 рублей штрафа за нарушение сроков отправки порожних вагонов, 20 000 рублей штрафа за возврат вагонов в коммерчески непригодном состоянии, 70 761 рубля 43 копеек убытков за возврат вагонов в коммерчески непригодном состоянии, 27 476 рублей 50 копеек убытков за возврат вагонов в технически неисправном состоянии.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«Трансойл», общество с ограниченной ответственностью «Олмал», общество с ограниченной ответственностью «Эклиптика», общество с ограниченной ответственностью «Бант», общество с ограниченной ответственностью «Симбиоз», общество с ограниченной ответственностью «ТРК», общество с ограниченной 2 ответственностью «ННП», общество с ограниченной ответственностью «Энергия К», общество с ограниченной ответственностью «Энергия М». Решением Арбитражного суда Республики Башкортостан от 11.02.2021 иск удовлетворен в части взыскания 1 947 000 рублей штрафа за нарушение сроков отправки порожних вагонов, 20 000 рублей штрафа за возврат вагонов в коммерчески непригодном состоянии, 50 761 рубля 43 копеек убытков за возврат вагонов в коммерчески непригодном состоянии и 27 476 рублей 50 копеек убытков за возврат вагонов в технически неисправном состоянии, в удовлетворении иска в остальной части отказано. Постановлением Восемнадцатого арбитражного апелляционного суда от 02.06.2021 решение суда первой инстанции оставлено без изменения. Арбитражный суд Уральского округа постановлением от 28.10.2021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превышающей взыскание 1 944 000 рублей штрафа за нарушение сроков отправки порожних вагонов,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порожние цистерны находились на станции назначения с превышением установленного правилами торгов срока, а также ответчиком осуществлен возврат порожних цистерн в коммерчески непригодном состоянии, руководствуясь положениями статей 15, 309, 310, 330, 393, 401, 421, 506, 509, 517 Гражданского кодекса Российской Федерации, суды пришли к выводу о наличии оснований для удовлетворения иска. 3 Доводы, изложенные в кассационной жалобе, приводились при рассмотрении дела,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