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30.07.2021, оставленным без изменения постановлением Девятого арбитражного апелляционного суда от 11.10.2021 и постановлением Арбитражного суда Московского округа от 01.12.2021, производство по заявлению прекращено на основании пунктов 1, 2 части 1 статьи 150 Арбитражного процессуального кодекса Российской Федерации. В кассационной жалобе Баранова О.А. просит об отмене судебных актов, ссылаясь на обязанность рассмотрения спора по существу в деле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заявленное требование основано на одном и том же обстоятельстве – приобретении Алеевым В.Г. недвижимого имущества, принадлежавшего должнику, законность которого проверена в рамках самостоятельного иска судом общей юрисдикции. Таким образом, оснований для рассмотрения такого же требования в деле о банкротстве не имеется, на что указали суды, применив пункты 1, 2 части 1 статьи 150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Барановой Ольге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