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15.03.2021, оставленным без изменения постановлением Восемнадцатого арбитражного апелляционного суда от 22.06.2021 и постановлением Арбитражного суда Уральского округа от 25.10.2021, в удовлетворении заявления отказано. В кассационной жалобе Самсонова И.А. просит об отмене судебных актов, ссылаясь на неправильное определение предмета доказывания применительно к основаниям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договоры, результат исполнения которых оформлен спорным актом, оспаривались самим должником и его требование было отклонено. Подписание обществом, участником которого являлся должник, договоров и акта об их реализации осуществлено в рамках обычной деятельности общества и в отсутствие у него и должника неисполненных обязательств, поэтому правомерно признано не выходящим за пределы осуществления гражданских прав (статья 10 Гражданского кодекса Российской Федерации. Заявленные общегражданские основания недействительности сделки в процедурах банкротства проверяются в отношении действий участников сделки, ухудшающих имущественное положение должника во вред имеющимся кредиторам, не установленных в пределах заявленного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