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Тульской области от 30.12.2020, оставленным без изменения постановлением Двадцатого арбитражного апелляционного суда от 28.04.2021, иск удовлетворен. Постановлением Арбитражного суда Центрального округа от 12.08.2021 решение суда первой инстанции и постановление суда апелляционной инстанции отменены, дело направлено на новое рассмотрение в Арбитражный суд Тульской области. В кассационной жалобе, поданной в Верховный Суд Российской Федерации, общество, ссылаясь на незаконность постановления суда округа, просит его отменить и оставить в силе решение суда первой инстанции и постановление суда апелляционной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Между тем таких оснований не установлено. Отменяя судебные акты судов первой и апелляционной инстанций и направляя дело на новое рассмотрение, суд округа, не принимая судебного акта по существу спора, исходил из того, что суды не исследовали имеющие значение для разрешения спора фактические обстоятельства, касающиеся заключения сторонами дополнительного соглашения, которым изменен размер неустойки. Оснований, предусмотренных пунктом 1 части 7 статьи 291.6 Арбитражного процессуального кодекса Российской Федерации,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не имеется. При новом рассмотрении заявитель не лишен возможности приводить доводы и представлять доказательства в обоснование своей позиции по спору. В частности, заявитель вправе ссылаться на условия пункта 10.3 спорного договора в редакции дополнительного соглашения от 01.02.2019 № 3.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«Европейские строительные технологии»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