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12.04.2021, оставленным без изменения постановлением Девятого арбитражного апелляционного суда от 07.07.2021 и постановлением Арбитражного суда Московского округа от 18.10.2021, заявление удовлетворено. В кассационной жалобе Цой В.С. просит об отмене судебных актов, ссылаясь на неосведомленность о неплатежеспособности должника и наличии у его неисполненных обязательств перед иными кредиторами на момент заключения договоров займа, во исполнение которых совершались оспариваемые платежи.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Цоя В.С. дохода для предоставления должнику займов, возврат которых должник не мог осуществлять оспариваемыми перечислениями денежных средств, в том числе и по неплатежеспособности, поэтому признали платежи попадающими под недействительные сделки в силу пункта 2 статьи 61.2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Цою Владиславу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