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07.04.2021, оставленным без изменения постановлением Девятого арбитражного апелляционного суда от 14.07.2021 и постановлением Арбитражного суда Московского округа от 26.10.2021, Кузнецова О.С. признана банкротом, в отношении нее введена процедура реализации имущества гражданина, утвержден финансовый управляющий. В кассационной жалобе Кузнецова О.С. просит отменить судебные акты вследствие нарушения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судебные акты Арбитражного суда Московской области направлялись по актуальному адресу должницы в Московской области, следовательно, будучи осведомленной о начавшемся процессе в силу пункта 6 статьи 121 Арбитражного процессуального кодекса Российской Федерации она должна была самостоятельно отслеживать движение дела и своевременно представлять возражения в том числе по вопросу о подсудности, тогда как такой обязанности не исполнила, чем приняла на себя возможные риски. Вопрос о подсудности обсужден судами, разрешен в соответствии с законом и судебной практикой и не попадает под основания для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Кузнецовой Ольге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