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Кутукова Александра Евгеньевича в Арбитражный суд города Москвы обратилась Абрамова Галина Михайловна о замене в порядке процессуального правопреемства кредитора Абрамовой Г.М. на ООО «Деловой интерьер» в части требования в размере 441 319 922 рублей 38 копеек и уменьшении суммы требования кредитора Абрамовой Г.М. Определением Арбитражного суда города Москвы от 18.02.2021 произведена замена кредитора Абрамовой Г.М. на ООО «Деловой интерьер» в реестре требований кредиторов должника в части требования по кредитному договору от 19.01.2012 № 1710 в размере 441 319 922 рублей 38 копеек, из которых 349 302 319 рублей 30 копеек основной долг, 90 865 601 рубль 12 копеек пени на основной долг, 1 152 001 рубль 96 копеек пени на просроченные проценты; уменьшено требование кредитора Абрамовой Г.М. в части задолженности по кредитному договору от 19.01.2012 № 1710 и оставлено в реестре требований кредиторов должника требование Абрамовой Г.М. в размере 53 123 468 рублей 76 копеек. 2 Постановлением Девятого арбитражного апелляционного суда от 08.07.2021 определение суда первой инстанции оставлено без изменения. Арбитражный суд Московского округа постановлением от 29.11.2021 указанные судебные акты в части замены кредитора Абрамовой Г.М. на ООО «Деловой интерьер» в реестре требований кредиторов должника по требованию, основанному на кредитном договоре от 19.01.2012 № 1710, в размере 441 319 922 рублей 38 копеек отменил и в указанной части направил обособленный спор на новое рассмотрение в Арбитражный суд города Москвы. Абрамова Галина Михайловна обратилась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судебные акты в части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разрешения спора, а также полного и всестороннего исследования и оценки представленных доказательств, с учетом доводов и возражений лиц, участвующих в споре, окружной суд действовал в пределах полномочий, предусмотренных статьями 287, 288 Арбитражного процессуального кодекса Российской Федерации. Нарушений судом округа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Абрамовой Галине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