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в порядке упрощенного производства решением Арбитражного суда Волгоградской области от 28.06.2021, оставленным без изменения постановлением Двенадцатого арбитражного апелляционного суда от 11.08.2021, иск удовлетворен. Постановлением Арбитражного суда Поволжского округа от 12.11.2021 решение и постановление апелляционного суда отменены, в иске отказано. В кассационной жалобе учреждение просит об отмене постановления окружного суда, ссылаясь на наличие полномочий на предъявление требования о возмещении вреда, причиненного дорогам, находящимся в собственности Ханты-Мансийского округа – Югры.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установлено. Учреждение не обосновало возможности разделения маршрута, проходящего по территории нескольких субъектов Российской Федерации, на отдельные части в целях требования убытков вследствие причинения вреда тяжеловесными транспортными средствами в отношении соответствующей части дорог такого маршрута. Окружной суд правомерно руководствовался разделением полномочий органов государственной власти Российской Федерации и субъектов в вопросах определения размера и взимания убытков статьями 11, 11.1, 12 Федерального закона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 и указал, что в отношении спорной перевозки учреждение таких полномочий не подтвердило.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казенного учреждения Ханты-Мансийского автономного округа – Югры «Управление автомобильных дорог»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