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305-ЭС21-29351 ОПРЕДЕЛЕНИ Е г. Москва 21 февраля 2022 г. Судья Верховного Суда Российской Федерации Антонова М.К., изучив кассационную жалобу индивидуального предпринимателя Биджановой Вероники Тагировны (далее – предприниматель, налогоплательщик) на решение Арбитражного суда города Москвы от 31.05.2021, постановление Девятого арбитражного апелляционного суда от 27.09.2021 и постановление Арбитражного суда Московского округа от 16.12.2021 по делу № А40-32203/2021 по заявлению предпринимателя о признании незаконным сообщения Инспекции Федеральной налоговой службы № 6 по городу Москве (далее – инспекция, налоговый орган) от 23.11.2020 № 336002 об отказе от предоставления налоговой льготы по налогу на имущество, об обязании устранить допущенные нарушения путем предоставления налоговой льготы по налогу на имущество в виде освобождения от уплаты налога на имущество физических лиц в отношении квартиры, расположенной по адресу:</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31.05.2021, оставленным без изменения постановлениями Девятого арбитражного апелляционного суда от 27.09.2021 и Арбитражного суда Московского округа от 16.12.2021, в удовлетворении заявления отказано. В кассационной жалобе налогоплательщик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предприниматель обратился в инспекцию с заявлением о предоставлении налоговой льготы по налогу на имущество физических лиц на объект недвижимости (квартиру) в связи с нахождением на упрощенной системе налогообложения и осуществлением предпринимательской деятельности по указанному адресу. Оспариваемым сообщением налоговый орган проинформировал предпринимателя об отказе в предоставлении льготы ввиду документального неподтверждения использования квартиры в предпринимательской деятельности. Решением Управления Федеральной налоговой службы по городу Москве от 01.02.2021 № 21-10/012769 жалоба налогоплательщика оставлена без удовлетворения.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21, 56, 346.11, 400, 408 Налогового кодекса Российской Федерации, суды пришли к выводу об отсутствии оснований для удовлетворения заявления общества. Судебные инстанции исходили из несоблюдения предпринимателем условий для освобождения от уплаты спорного налога. При исследовании обстоятельств дела не установлено непосредственное использование налогоплательщиком имущества (квартиры) в предпринимательской деятельности. Доводы, изложенные в кассационной жалобе, не опровергают выводы судов и направлены на переоценку установленных обстоятельств, не свидетельствуют о неправильном применении ими норм материального и процессуального права, повлиявшем на исход дела. Несогласие предпринимателя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3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Биджановой Веронике Тагировне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