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29.04.2021, оставленным без изменения постановлением Восемнадцатого арбитражного апелляционного суда от 29.07.2021 и постановлением Арбитражного суда Уральского округа от 17.11.2021, в удовлетворении исковых требований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протокола рассмотрения единственной заявки на участие в электронном аукционе от 11.12.2017 № 01693000001170050048 обществом (подрядчик) и управлением (заказчик) 25.12.2017 заключен муниципальный контракт № Ф.2017.575136 на выполнение работ на объекте: «Строительство теплового перехода между детским и хирургическим корпусами МАУЗ ГКБ № 1». В соответствии с пунктами 3.1 и 3.2 контракта цена контракта составляет 19 732 913 рублей 81 копейка, является твердой и определяется на весь срок исполнения контракта. Цена контракта включает в себя затраты в соответствии с утвержденной проектно-сметной документацией, а именно затраты на подрядные работы, непредвиденные работы, оборудование, материалы, НДС (если предусмотрен) и другие обязательные платежи на весь период выполнения работ. Сторонами подписаны и удостоверены печатями организаций акты о приемке выполненных работ по форме КС-2 на общую сумму 19 011 880 рублей 80 копеек, работы оплачены управлением в полном объеме. Обществом на дополнительные работы в одностороннем порядке составлены и подписаны акты о приемке выполненных работ на общую сумму 1 267 320 рублей 94 копейки и в адрес управления направлена соответствующая претензия от 13.11.2019 № 586. Неисполнение претензии послужило основанием для обращения общества в арбитражный суд. Исследовав и оценив представленные в материалы дела доказательства, суды первой и апелляционной инстанций, руководствуясь положениями Гражданского кодекса Российской Федерации (далее - Гражданский кодекс), Федерального закона от 05.04.2013 № 44-ФЗ «О контрактной системе в сфере закупок товаров, работ, услуг для обеспечения государственных и муниципальных нужд», учитывая правовую позицию, изложенную в Обзоре судебной практики № 3 (2015), утвержденном Президиумом Верховного Суда Российской Федерации 25.11.2015, в пункте 12 Обзора судебной практики применения законодательства Российской Федерации о контрактной системе в 3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28.06.2017, в пункте 35 Обзора судебной практики, утвержденного Президиумом Верховного Суда Российской Федерации 22.07.2020, пришли к выводу об отсутствии оснований для удовлетворения заявленных требований, с чем согласился суд округа. Судебные инстанции исходили из отсутствия доказательств заключения дополнительного соглашения к муниципальному контракту в порядке, установленном законодательством о контрактной системе, согласования увеличения объема работ и изменения цены контракта; не представления доказательств того, что исполняя обязательства по муниципальным контрактам, общество не имело объективной возможности приостановить выполнение дополнительных работ. Кроме того, суды отметили, что как профессиональный участник спорных отношений общество не могло не знать, что работы выполняются им при отсутствии обязательств по контракту. Доводы общества, изложенные в жалобе, являлись предметом рассмотрения судов и им дана надлежащая правовая оценка, не опровергают их выводы, не подтверждают существенных нарушений норм материального и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Группа компаний «Абсолютные системы»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