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12.04.2021, оставленным без изменения постановлением Десятого арбитражного апелляционного суда от 02.09.2021 и постановлением Арбитражного суда Московского округа от 08.12.2021, в удовлетворении заявления отказано. В кассационной жалобе Жиркин Д.А. просит об отмене судебных актов, ссылаясь на игнорирование условий для недействительности сделки как силу законодательства о банкротстве, так и общегражданских норм.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указали на недоказанность финансовым управляющим обстоятельств, на которые он ссылается в обоснование недействительности сделки, – непредставление сведений о стоимости имущества, заинтересованности сторон сделки, действий сторон во вред кредиторам, тогда как суды установили соответствие цены сделки кадастровой стоимости имущества и уплату этой суммы покупателем. Учитывая реальный характер сделки и равноценность встречного предоставления, суды не признали условий, необходимых в силу статьи 61.2 Федерального закона от 26.10.2002 № 127-ФЗ «О несостоятельности (банкротстве)» и статей 10, 168 Гражданского кодекса Российской Федерации для признания его недействительным.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Жиркину Дмитрию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