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Ставропольского края от 14.05.2021, оставленным без изменения постановлением Шестнадцатого арбитражного апелляционного суда от 21.07.2021 и постановлением Арбитражного суда Северо-Кавказского округа от 26.10.2021, в удовлетворении заявления отказано. В кассационной жалобе Коробков Э.В. просит об отмене судебных актов, ссылаясь на ненадлежащую оценку доказательств и игнорирование обязательности решения суда общей юрисдикции.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приведенные в обоснование требования обстоятельства и признали их не отвечающими критериям статей 71, 100 Федерального закона от 26.10.2002 № 127-ФЗ «О несостоятельности (банкротстве)» и пункту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для включения требования о возврате денежных средств в реестр. При этом установив, что обстоятельства предоставления займа судом общей юрисдикции не устанавливались, суды правомерно указали на неприменимость в отношении них в рассматриваемом споре части 3 статьи 69 Арбитражного процессуального кодекса Российской Федерации. Иная оценка доказательств, на которой построены доводы жалобы,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Коробкову Эдуарду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