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определением Арбитражного суда Московской области от 02.04.2021, оставленным без изменения постановлением Десятого арбитражного апелляционного суда от 26.07.2021 и постановлением Арбитражного суда Московского округа от 21.10.2021, заявление удовлетворено. В кассационной жалобе общество просит об отмене судебных актов, ссылаясь на неоказание содействия в подтверждение обстоятельств, на которые оно ссылалось.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состоявшийся переход требования от первоначального кредитора к заявителю, поэтому произвели замену в соответствии со статьей 48 Арбитражного процессуального кодекса Российской Федерации и статьями 389, 431 Гражданского кодекса Российской Федерации. Доводы общества заявлены без учета того, что требования предшественника заявителя включены в реестр после проверки в порядке статей 71, 100 Федерального закона от 26.10.2002 № 127-ФЗ «О несостоятельности (банкротстве)»,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«Передвижная механизированная колонна № 27»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