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Верховный Суд Российской Федерации с кассационной жалобой на указанные судебные акты, одновременно заявив ходатайство об отсрочке уплаты государственной пошлины, мотивированное отсутствием у него денежных средств, необходимых для уплаты пошлины в установленном размере. В силу статьи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В соответствии с пунктом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ее размер, а также отсрочить (рассрочить) ее уплату в порядке, предусмотренном статьей 333.41 данного Кодекса. Поскольку представленные обществом в обоснование ходатайства документы свидетельствуют об отсутствии у него возможности уплатить государственную пошлину при подаче кассационной жалобы, ходатайство подлежит удовлетворению. Руководствуясь статьями 102 , 184 , 185 Арбитражного процессуального кодекса Российской Федерации, статьями 333.22 , 333.41 Налогового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«ЭКОЛОГИ-КА» удовлетворить. Предоставить обществу с ограниченной ответственностью «ЭКОЛОГИ-КА» отсрочку уплаты государственной пошлины сроком до окончания производства по кассационной жалобе. Судья Верховного Суда Российской Федерации Н.С. Чучунова Суд: Верховный Суд РФ (подробнее) Ответчики: ООО "ЭКОЛОГИ-КА"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