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Морозова Александра Александровича в Арбитражный суд Ростовской области обратилось общество с ограниченной ответственностью «Складтехника-Сервис» с заявлением о передаче дела по подсудности в Арбитражный суд города Москвы. Определением Арбитражного суда Ростовской области от 23.09.2021 в удовлетворении заявления отказано. Постановлением Пятнадцатого арбитражного апелляционного суда от 22.11.2021 определение суда первой инстанции оставлено без изменения. Общество с ограниченной ответственностью «Складтехника-Сервис»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передаче дела по подсудности в Арбитражный суд города Москвы, суды руководствовались положениями статей 38,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учли конкретные обстоятельства настоящего дела о банкротстве, сведения о регистрации должника и доводы кредитора относительно соответствия данных регистрационного учета должника реальному положению дел и пришли к выводу о том, что передача дела, принятого с соблюдением правила подсудности, на рассмотрение другого арбитражного суда не отвечает цели эффективности правосудия, а также приведет к затягиванию срока рассмотрения дела о банкротстве должника и увеличению текущих расходов, что не соответствует основным целям процедуры реализации имущества – максимальному удовлетворению требований кредиторов за счет имущества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«Складтехника-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