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Срок подачи кассационной жалобы на решение Арбитражного суда Челябинской области от 17.03.2021, постановление Восемнадцатого арбитражного апелляционного суда от 02.06.2021 и постановление Арбитражного суда Уральского округа от 17.09.2021 по делу № А76-52708/2019 восстановить.Судья Верховного Суда Российской Федерации Н.С. Чучунова Суд: Верховный Суд РФ (подробнее) Ответчики: ООО "РЕМ93 ПРОМОУШНЗ" (подробнее) Иные лица: Федеральное Бюджетное Учреждение Челябинская лаборатория судебной экспертизы Министерства юстиции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