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13.04.2021, оставленным без изменения постановлением Девятого арбитражного апелляционного суда от 12.07.2021 и постановлением Арбитражного суда Московского округа от 17.11.2021, иск удовлетворен.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удовлетворяя иск, суды первой и апелляционной инстанций руководствовались статьями 15, 1096 Гражданского кодекса Российской Федерации 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пришли к выводу о доказанности истцом наличия совокупности условий, необходимых для взыскании с ответчика убытков. Суд округа поддержал выводы судов первой и апелляционной инстанций.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«Производственная компания Дальвагоноремонт»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