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16.07.2021, оставленным без изменения постановлением Девятого арбитражного апелляционного суда от 20.09.2021, в удовлетворении требований отказано. Постановлением Арбитражного суда Московского округа от 10.12.2021 указанные судебные акты оставлены без изменения. Гайдельшинова Д.Г. просит обжалуемые судебные акты отменить, считая их незаконными и необоснованными. 2 При изучении доводов кассационной жалобы, дополнения к ней,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202, 203 Арбитражного процессуального кодекса Российской Федерации, статьи 28.3 Кодекса Российской Федерации об административных правонарушениях, суды отказали в удовлетворении требований, признав не доказанным нарушение прав заявителя; при этом суды указали, что с заявлением о привлечении к административной ответственности обратилось неуполномоченное лицо.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невозможна, в том числе, защита нарушенных прав, свобод, законных интересов в сфере предпринимательской и иной экономической деятельности. Доводов о том, как удовлетворение заявления в рамках настоящего дела повлияет на восстановлении прав и законных интересов заявителя, в жалобе не приведено. С учетом указанных обстоятельств приведенные в жалобе доводы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