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20.05.2021, оставленным без изменения постановлением Седьмого арбитражного апелляционного суда от 15.07.2021, оспариваемое постановление изменено в 2 части назначенного наказания, размер административного штрафа снижен до 125 000 рублей. Постановлением Арбитражного суда Западно-Сибирского округа от 21.10.2021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при обследовании фасадов домов факт наличия снежных масс, свисающих за пределы конструкций кровли, наледи над входами в подъезды, отсутствие ограждения на месте возможного падения снега.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статьями 161, 162 Жилищного кодекса Российской Федерации,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Правил содержания общего имущества в многоквартирном доме, утвержденных постановлением Правительства Российской Федерации от 13.08.2006 № 491,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3 жилищно-коммунальному комплексу от 27.09.2003 № 170, 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утвержденного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требований. Суды признали, что процедура и срок давности привлечения к ответственности соблюдены, штраф снижен судом ниже низшего размера санкции нормы. Оснований для применения статьи 2.9 Кодекса Российской Федерации об административных правонарушениях не выявлено. Доводы жалобы были предметом исследования судов и получили исчерпывающую правовую оценку применительно к установленным обстоятельствам, связанным с выявлением правонарушения по результатам контрольных мероприятий, не согласиться с которой оснований не имеется.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