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10.02.2021, оставленным без изменения постановлением 2 Тринадцатого арбитражного апелляционного суда от 15.05.2021, в удовлетворении заявленных требований отказано. Постановлением Арбитражного суда Северо-Западного округа от 18.10.2021 указанные судебные акты оставлены без изменения. Общество в кассационной жалобе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2 статьи 14.13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Оценив представленные доказательства, руководствуясь статьями 161, 162 Жилищного кодекса Российской Федерации, Положением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Правил и норм технической эксплуатации жилищного фонда, утвержденных постановлением Госстроя России от 27.09.2003 № 170, суды пришли к выводу о наличии в действиях общества состава правонарушения, ответственность за совершение которого предусмотрена частью 2 статьи 14.13 Кодекса Российской Федерации об административных правонарушениях, установив факт осуществления им предпринимательской деятельности по управлению многоквартирными домами с нарушением лицензионных требований, поскольку не обеспечено требуемое санитарное состояние лестничных клеток; установлены подтопление подвала, 3 наличие сырости и замачивания грунтов оснований фундаментов и конструкций подвалов, загрязнение и захламление подвала мусором. Суды признали, что процедура и срок давности привлечения к ответственности соблюдены, штраф назначен ниже низшего размера санкции нормы. Оснований для применения статьи 2.9 Кодекса Российской Федерации об административных правонарушениях не выявлено. Доводы об отсутствии оснований для проведения проверки являлись предметом рассмотрения судов и получили исчерпывающую правовую оценку применительно к установленным обстоятельствам, связанным с проведением в рассматриваемом случае внеплановой проверки, основаниями для проведения которой являлись факты угрозы причинения вреда жизни, здоровью граждан, и проведение которой согласовано органами прокуратуры.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