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24.02.2021, оставленным без изменения постановлениями Восемнадцатого арбитражного апелляционного суда от 02.06.2021 и Арбитражного суда Уральского округа от 27.10.2021,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налогов за период с 01.01.2014 по 31.12.2016 инспекцией вынесено оспариваемое решение, которым обществу доначислены налог на прибыль и НДС, начислены соответствующие суммы пеней и штрафы. Доначисление оспариваемым решением инспекции указанных налогов связано с выводами о получении обществом необоснованной налоговой выгоды, создании формального документооборота и неправомерном предъявлении вычетов по НДС по сделкам с обществами с ограниченной ответственностью «Промстройурал», «РСК «Гермес», «Уралстройресурс», «Магремстрой», «PCК «Оникс», «Стройресурс» (далее - контрагенты) по проведению спорных работ; о выполнении работ силами самого налогоплательщика. Решением управления от 08.06.2020 № 16-07/002747,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169, 171, 172, 247, 252 Налогового кодекса Российской Федерации, статьи 9 Федерального закона от 06.11.2011 № 402-ФЗ «О бухгалтерском учёте»,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решения инспекции. Судебные инстанции исходили из создания обществом формального документооборота в отсутствие реальных финансово-хозяйственных отношений с контрагентами в целях получения необоснованной налоговой выгоды. При исследовании обстоятельств дела установлено, что спорные контрагенты не осуществляли фактическую хозяйственную деятельность, а были созданы и действовали для использования в сделках, направленных на получение неправомерной налоговой выгоды, создания формального 3 документооборота; контрагенты не имели реальной возможности осуществить заявленные операции по выполнению спорных работ (отсутствуют допуск к выполнению строительно-монтажных работ и необходимые ресурсы для выполнения спорных работ (транспортные средства, техническое оборудование, трудовые ресурсы, движимое и недвижимое имущество); налоговая нагрузка спорных контрагентов минимальна; бухгалтерский учет и отправка отчетности спорных контрагентов осуществлялись одними и теми же лицами с одного компьютера; взаимозависимость контрагентов и общества; отсутствие у контрагентов платежей, указывающих на ведение реальной финансово-хозяйственной деятельности; спорные работы были выполнены самостоятельно налогоплательщиком.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