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05.02.2021, оставленным без изменения постановлением Семнадцатого арбитражного апелляционного суда от 28.04.2021, заявленное требование удовлетворено. Постановлением Арбитражного суда Уральского округа от 27.10.2021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 надзоре за дорожным движением инспекцией выявлены нарушения законодательства Российской Федерации о безопасности дорожного движения (правил, стандартов, технических норм и иных требований нормативных документов в области обеспечения безопасности дорожного движения), в связи с чем в адрес учреждения направлено предписание. Предписанием инспекции на учреждение возложена обязанность организовать благоустройство территории автомобильной дороги общего пользования в соответствии с проектом организации дорожного движения. Не согласившись с предписанием инспекции, учреждение обратилось в арбитражный суд с заявлением о признании его недействительным. Удовлетворяя заявленное требование, суды первой и апелляционной инстанций исходили из нарушения инспекцией процедуры выдачи оспариваемого предписания. Суды указали, что инспекцией не проводилась проверка в порядке, установленном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 приказ о проведении проверки не издавался. Суд кассационной инстанции счел выводы судов ошибочными. Отменяя решение суда первой и постановление суда апелляционной инстанций, суд округа, руководствуясь положениями Закона № 294-ФЗ, Федерального закона от 10.12.1995 № 196-ФЗ «О безопасности дорожного движения», Положением о федеральном государственном надзоре в области безопасности дорожного движения, утвержденным постановлением Правительства Российской Федерации от 19.08.2013 № 716, пришел к выводу об отсутствии оснований для удовлетворения заявленного требования. При этом суд округа исходил из того, что характер выявленных инспекцией нарушений в ходе наблюдения (обследования), очевидность которых не вызывала объективных сомнений, требовал принятия незамедлительных мер по пресечению нарушений посредством вынесения оспариваемого предписания, поскольку оно является ускоренной мерой защитного и обеспечительного характера. Суд указал, что в данном случае не требовалось после выявления нарушений проводить проверку деятельности учреждения с предварительным 3 уведомлением исключительно в целях вынесения предписаний об устранении установленных нарушений. Кроме того, суд округа отметил, что в ходе рассмотрения дела учреждение, ссылаясь на нарушение инспекцией процедуры вынесения предписания, не отрицало факта наличия нарушений, установленных инспекцией, и своей компетенции в исправлении выявленных недочетов в содержании автомобильной дороги в соответствии с нормами и правилами. Доводы, изложенные в жалобе, с учетом установленных фактических обстоятельств выводы суда кассационной инстанции не опровергают. Несогласие заявителя с толкованием судом округа положений законодательства не свидетельствует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Поскольку нарушений судом кассационной инстанции норм материального и процессуального права при рассмотрении дела не установлено,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«Пермблагоустройство»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