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23.04.2021, оставленным без изменения постановлениями Девятого арбитражного апелляционного суда от 16.07.2021 и Арбитражного суда Московского округа от 01.11.2021, в удовлетворении заявленных требований отказано. 2 В кассационных жалобах министерство и учреждение ставят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при проведении открытого конкурса в электронной форме на право заключения контракта на выполнение работ по проектированию, строительству и вводу в эксплуатацию объекта капитального строительства, ФАС России вынесено решение. Антимонопольным органом жалоба общества признана обоснованной, в действиях заказчика установлено нарушение пунктов 1, 4, 8 части 1 статьи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Предписанием ФАС России на учреждение возложена обязанность устранить допущенное нарушение. Не согласившись с ненормативными правовыми актами антимонопольного органа, министерство и учреждение обратились в арбитражный суд. Исследовав и оценив представленные в материалы дела доказательства, руководствуясь положениями статей 16.1, 33, 54.3 Закона о контрактной системе, постановлением Правительства Российской Федерации от 12.05.2017 № 563 «О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Федерации», суды пришли к выводу о законности оспариваемых ненормативных правовых актов антимонопольного органа. Судебные инстанции исходили из неправомерного объединения заказчиком в один предмет закупки выполнение работ и поставку медицинского оборудования, признав, что спорные товары и работы образуют разные товарные рынки, не обладают какими-либо родовыми, однородными признаками, не имеют функциональную и технологическую связь между собой, 3 и их объединение в один предмет закупки привело к необоснованному ограничению количества участников закупки. Суды отметили, что учреждение в данном случае вправе было объединить в один лот выполнение строительных работ, поставку оборудования и его монтаж, только если закупало бы оборудование, которое неразрывно связано с объектом строительства, то есть когда поставка и установка оборудования не могли быть выполнены без изменения объекта строительства после того, как строительство завершится. При исследовании обстоятельств дела установлено, что в рассматриваемом случае идет речь о поставке оборудования в соответствии со сметным расчетом, большая часть которого является немонтируемым, то есть технологически и функционально не связана с объектом строительства. Изложенные в кассационных жалобах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по сути, сводятся к несогласию заявителей с установленными судами фактическими обстоятельствами дела и направлены на их переоценку.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казенному учреждению «Дирекция по реализации программ строительства Сахалинской области» и Министерству экономического развития Сахалинской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