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30.12.2020 ФИО1 признан несостоятельным (банкротом), в отношении него введена процедура реализации имущества гражданина, финансовым управляющим утвержден ФИО2. Определением Арбитражного суда города Москвы от 24.05.2021 требование публичного акционерного общества «Транскапиталбанк» удовлетворено, в третью очередь реестра требований кредиторов должника включено требование банка, как обеспеченное залогом имущества должника, в размере 2 228 418 рублей 47 копеек основного долга, 1 360 259 рублей 17 копеек процентов, 300 000 рублей неустойки, 28 190 рублей 62 копеек госпошлины. Постановлением Девятого арбитражного апелляционного суда от 04.08.2021 определение суда первой инстанции оставлено без изменения. Арбитражный суд Московского округа постановлением от 28.10.2021 указанные судебные акты оставил без изменения. Скрипник Алексей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статьи 69 Арбитражного процессуального кодекса Российской Федерации, статьями 16, 71, 100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наличие непогашенной задолженности, подтвержденной вступившим в законную силу судебном актом суда общей юрисдикции, признали заявленное требование обоснованным и подлежащим включению в реестр требований кредиторов третьей очереди. Оснований для применения статьи 333 Гражданского кодекса Российской Федерации судами не установлено ввиду отсутствия доказательств явной несоразмерности начисленной неустойки последствиям нарушения обязательства. Доводы, изложенные в кассационной жалобе, о необоснованном отказе суда первой инстанции в применении статьи 333 Гражданского кодекса Российской Федерации приводился в судах апелляционной и кассационной инстанций, были рассмотрены судами и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"РОСБАНК" (подробнее) ПАО "ТКБ Банк" (подробнее) ПАО "Транскапиталбанк" (подробнее) ТСЖ "НАХАБИНКА" (подробнее) Иные лица: Ассоциации "МСОПАУ" (подробнее) Орган опеки и попечительства района Ясенево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