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25.05.2021, оставленным без изменения постановлениями Девятого арбитражного апелляционного суда от 20.07.2021 и Арбитражного суда Московского округа от 26.10.2021, в удовлетворении заявленных требований отказано. В кассационных жалобах, поданных в Верховный Суд Российской Федерации, заявители ставят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 рассмотрения дела о нарушении антимонопольного законодательства со стороны ООО «Тривес Трейд», ООО «Медэксперт», ООО «Оптомед», ООО «Малтри» на рынке оптовой реализации ортопедических изделий, используемых для профилактики и лечения заболеваний опорно-двигательного аппарата человека, ФАС России принято решение о признании ООО «Тривес Трейд», ООО «Медэксперт», ООО «Оптомед», ООО «Малтри» нарушившими пункт 1 части 1 статьи 11 Федерального закона от 26.07.2006 № 135-ФЗ «О защите конкуренции» (далее – Закон о защите конкуренции), что выразилось в заключении и участии в антиконкурентном соглашении, которое привело к поддержанию цен на рынке оптовой реализации ортопедических изделий. Предписанием антимонопольного органа на заявителей возложена обязанность по устранению выявленного нарушения и совершению действий, направленных на обеспечение конкуренции. Не согласившись с ненормативными правовыми актами антимонопольного органа, ООО «Тривес Трейд», ООО «Медэксперт», ООО «Оптомед» и ООО «Малтри» обратились в арбитражный суд с заявлением о признании их незаконными.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защите конкуренции, с учетом правовой позиции, изложенной в постановлении Пленума Высшего Арбитражного Суда Российской Федерации от 30.06.2008 № 30 «О некоторых вопросах, возникающих в связи с применением арбитражными судами антимонопольного законодательства», суды пришли к выводу о том, что оспариваемые решение и предписание ФАС России соответствуют требованиям действующего законодательства, не нарушают права и законные интересы заявителей. При этом судебные инстанции исходили из доказанности наличия вменяемого ФАС России соглашения в действиях заявителей, не усмотрев 3 нарушения процедуры рассмотрения дела о нарушении антимонопольного законодательства. При исследовании обстоятельств дела установлено, что действия обществ были направлены на установление и поддержание определенного уровня цен организациями, осуществляющими розничную реализацию ортопедических изделий конечным потребителям, что выразилось в контроле за соблюдением контрагентами рекомендованных цен на свою продукцию, а также установленных правил и применении ограничительных мер (санкций) в отношении «клиентов-нарушителей». Суды отметили, что данный механизм должен был обеспечить установление и поддержание производителем и (или) хозяйствующим субъектом, осуществляющим оптовую реализацию продукции, непосредственно от производителя, цен на конкретный товар на выгодном для указанного хозяйствующего субъекта уровне. Ссылка на нерассмотрение судами всех доводов сторон подлежит отклонению, поскольку не свидетельствует об отсутствии их надлежащей судебной проверки и оценки. Несогласие заявителей с выводами судов, иная оценка ими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