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14.02.2022 обратился в Верховный Суд Российской Федерации с жалобой на определение судьи Верховного Суда Российской Федерации от 14.12.2021 № 309-ЭС21-23433, решение Арбитражного суда Свердловской области от 08.12.2020, постановление Семнадцатого арбитражного апелляционного суда от 23.03.2021 и постановление Арбитражного суда Уральского округа от 16.08.2021 по делу № А60-70530/2019,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