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15.06.2021 завершена процедура реализации имущества гражданина ФИО1 и должник освобожден от дальнейшего исполнения требований кредиторов, в том числе не заявленных при реализации имущества гражданина. Постановлением Восемнадцатого арбитражного апелляционного суда от 19.08.2021 определение суда первой инстанции оставлено без изменения. Арбитражный суд Уральского округа постановлением от 22.11.2021 указанные судебные акты оставил без изменения. Общество с ограниченной ответственностью «Микрокредитная компания «ФЦБ-56» обратилось в Судебную коллегию Верховного Суда Российской Федерации с кассационной жалобой на принятые судебные акты в части применения правила об освобождении должника от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«Микрокредитная компания «ФЦБ-56»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КОММЕРЧЕСКИЙ БАНК "ОРЕНБУРГ" (подробнее) АО "ЦЕНТР ДОЛГОВОГО УПРАВЛЕНИЯ" (подробнее) Восемнадцатый арбитражный апелляционный суд (подробнее) ООО МКК "ФЦБ-56" (подробнее) Орган опеки и попечительства по г. Бугуруслан Оренбургской области (подробнее) ПАО КБ " Восточный" (подробнее) ПАО "Сбербанк России" (подробнее) ПАО "Совкомбанк" (подробнее) УФРС ПО ОРЕНБУРГСКОЙ ОБЛАСТИ (подробнее) ф/у Петряшин Сергей Владимирович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