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14.07.2021, оставленным без изменения постановлением Тринадцатого арбитражного апелляционного суда от 14.09.2021 и постановлением Арбитражного суда Северо-Западного округа от 23.11.2021, жалоба возвращена заявителю. В кассационной жалобе ФИО1 просит о пересмотре судебных актов, ссылаясь на отсутствие законных пределов подачи жалобы на действия арбитражного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жалоба на действия финансового управляющего подана после прекращения его полномочий и завершения дела о банкротстве, поэтому признали ее не подлежащей рассмотрению в рамках этого дела. Позиция заявителя основана на ошибочной оценке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разъяснения которого по вопросам судебной практики носят для судов обязательный характер.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"Банк "Санкт-Петербург" (подробнее) Иные лица: МЕЖРАЙОННАЯ ИНСПЕКЦИЯ ФЕДЕРАЛЬНОЙ НАЛОГОВОЙ СЛУЖБЫ №24 ПО Санкт-ПетербургУ (подробнее) ПАО РОСБАНК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