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26.05.2021 обязательства перед обществом признаны общими обязательствами супругов. Дополнительным определением Арбитражного суда города Москвы от 23.06.2021 требования общества признаны обоснованными и включены в третью очередь реестра требований кредиторов. Постановлением Девятого арбитражного апелляционного суда от 09.08.2021, оставленным без изменения и постановлением Арбитражного суда Московского округа от 19.10.2021, определения от 26.05.2021 и от 23.06.2021 отменены, в удовлетворении заявления отказано. В кассационной жалобе общество просит об отмене судебных актов апелляционного и окружного судов, ссылаясь на ненадлежащие исследование и оценку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судов о недоказанности расходования на нужды семьи должника заявленной для включения в реестр суммы основан на установленных обстоятельствах рассматриваемого спора и не противоречит статье 45 Семейного кодекса Российской Федерации, статьям 213.8, 213.19, 213.24, 213.25 Федерального закона от 26.10.2002 № 127-ФЗ «О несостоятельности (банкротстве)» и судебной практике. Требуемая переоценка обстоятельств расходования должником денежных средств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«Квадра»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