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19.04.2021, оставленным без изменения постановлением Двенадцатого арбитражного апелляционного суда от 23.07.2021 и постановлением Арбитражного суда Поволжского округа от 28.10.2021, иск удовлетворен. В кассационной жалобе компания просит об отмене судебных актов, ссылаясь на принятие расчета арендной платы, не соответствующего обстоятельствам исполнения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при проверке аналогичных заявленным в рассматриваемой жалобе доводов компании установил, что контррасчета причитающейся истцу в соответствии с обстоятельствами исполнения договора суммы компания не представила ни в одну из судебных инстанций, поэтому признал ее возражения не доказанными по правилам статьи 65 Арбитражного процессуального кодекса Российской Федерации. Учитывая указанное обстоятельство, довод рассматриваемой жалобы о неосновательности расчета не влечет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«Нижневолжская строительная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ООО "НИЖНЕВОЛЖСКАЯ СТРОИТЕЛЬНАЯ КОМПАНИЯ"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