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24.03.2021, оставленным без изменения постановлением Двадцатого арбитражного апелляционного суда от 19.07.2021 и постановлением Арбитражного суда Центрального округа от 21.10.2021, в удовлетворении заявленного требования отказано. 2 В кассационной жалобе, поданной в Верховный Суд Российской Федерации, институт,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20.03.2020 в антимонопольный орган поступило заявление адвокатского кабинета на получение рекламы на электронный почтовый адрес от Всероссийского института госзаказа с предложением принять участие в семинаре Толстобокова О.Н. для заказчиков и поставщиков. Согласие на получение рекламы от указанного лица адвокатским кабинетом не давалось. По данному факту 05.06.2020 антимонопольным органом возбуждено дело № 032/05/18-692/2020 по признакам нарушения положений части 1 статьи 18 Федерального закона от 13.03.2006 № 38-ФЗ «О рекламе» (далее - Закон о рекламе). Решением управления институт признан нарушившим часть 1 статьи 18 Закона о рекламе, решено выдать предписание о прекращении нарушения законодательства Российской Федерации о рекламе и передать материалы дела для принятия решения о возбуждении административного производства по части 1 статьи 14.3 Кодекса Российской Федерации об административных правонарушениях. Не согласившись с решением антимонопольного органа, институт обратился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Закона о рекламе, пришли к выводу о том, что оспоренное решение соответствует положениям действующего законодательства и не нарушает права и законные интересы института, с чем согласился суд округа. 3 Судебные инстанции исходили из отсутствия доказательств наличия у института согласия на получение адресатом направленной ему информации, что является нарушением положений части 1 статьи 18 Закона о рекламе. Доводы, изложенные в кассационной жалобе, являлись предметом рассмотрения судов,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дополнительного профессионального образования «Институт повышения квалификации работников бюджетной сферы»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