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18.03.2021, оставленным без изменения постановлениями Девятого арбитражного апелляционного суда от 01.07.2021 и Арбитражного суда Московского округа от 20.10.2021,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учреждения на действия общества (заказчик) при проведении конкурсов в электронной форме на право заключения договора на оказание услуг по выполнению комплекса мероприятий по охране имущества на объектах, выразившиеся в ненадлежащем формировании закупочной документации, антимонопольным органом принято решение. Решением управления жалоба учреждения признана обоснованной в части неправомерного объединения в один лот разнородных услуг, которые не связаны технологически и функционально, а именно: исполнитель должен оказывать как непосредственно охранные услуги, так и услуги по техническому обслуживанию систем (пожарной сигнализации, видеонаблюдения и так далее), текущему ремонту и внеплановым проверкам оборудования, в действиях заказчика установлено нарушение пункта 2 части 1, части 6.1 статьи 3 Федерального закона от 18.07.2011 № 223-ФЗ «О закупках товаров, работ, услуг отдельными видами юридических лиц» (далее - Закон о закупках). На основании указанного решения заказчику выдано обязательное для исполнения предписание. Не согласившись с ненормативными правовыми актами антимонопольного органа, общество обратилось в арбитражный суд. Исследовав и оценив представленные в материалы дела доказательства, руководствуясь положениями Закона о закупках, суды пришли к выводу о том, что оспариваемые решение и предписание управления являются законными, не нарушают прав и законных интересов заявителя в сфере предпринимательской и иной экономической деятельности. Судебные инстанции исходили из того, что объединение в один лот различных по функциональным характеристикам услуг (работ) влечет ограничение конкуренции при проведении торгов ввиду сокращения числа хозяйствующих субъектов, которые могут принять участие в торгах по отдельным товарам или группам таких товаров. Суды указали, что обществом не приведено обоснований для препятствия осуществления закупки разнородных услуг и работ у различных исполнителей (подрядчиков), учитывая достаточную конкурентную среду в сфере технического обслуживания и профилактики, ремонта оборудования. При этом суды отметили, что такая деятельность как монтаж пожарной сигнализации, требует отдельного лицензирования. Доводы, изложенные в кассационной жалобе,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"Почта России" (подробнее) Ответчики: Управление Федеральной антимонопольной службы по г. Москве (подробнее) Иные лица: ФЕДЕРАЛЬНОЕ ГОСУДАРСТВЕННОЕ КАЗЕННОЕ УЧРЕЖДЕНИЕ "УПРАВЛЕНИЕ ВНЕВЕДОМСТВЕННОЙ ОХРАНЫ ВОЙСК НАЦИОНАЛЬНОЙ ГВАРДИИ РОССИЙСКОЙ ФЕДЕРАЦИИ ПО МОСКОВСКОЙ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