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Анализ нормы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податель жалобы просит об отсрочке уплаты государственной пошлины, представляя справки обслуживающих банков о состоянии счетов, принадлежность которых подтверждает сведениями налогового органа. Согласно статье 102 Арбитражного процессуального кодекса Российской Федерации и пункту 2 статьи 333.22 Налогового кодекса Российской предоставление отсрочки уплаты государственной пошлины производится арбитражным судом исходя из имущественного положения плательщика. Суд счел ходатайство подлежащим удовлетворению. Руководствуясь статьей 184 Арбитражного процессуального кодекса Российской Федерации, статьей 333.22 Налогового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предоставить обществу с ограниченной ответственностью «Управляющая компания «Стимул» отсрочку уплаты государственной пошлины до окончания производства по поданной им кассационной жалобе. Судья Верховного Суда Российской Федерации Н.А. Ксенофонтова 2</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